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AdTaily dostaje skrzydeł, czyli Yieldbird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grudnia br. grupa AdTaily zmienia nazwę. Pod marką Yieldbird funkcjonować będą teraz nie tylko usługi dla wydawców związane z zarządzaniem ich powierzchniami reklamowymi, ale także rozwiązania dla reklamodawców, dotychczas oferowane pod marką AdTaily. Głównym udziałowcem Yieldbird jest Agora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Zmiana nazwy to naturalny krok w rozwoju spółki. W 2012 r. pod marką Yieldbird została uruchomiona usługa polegająca na optymalizacji powierzchni reklamowych wydawców. Okazało się to świetnym ruchem biznesowym. W tej chwili współpraca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wydawcami to główna część naszej działalności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w tym kierunku chcemy się rozwijać. Dlatego zależy nam, by występować wobec naszych partnerów pod nazwą Yieldbird, a nie AdTaily jak dotychczas</w:t>
      </w:r>
      <w:r>
        <w:rPr>
          <w:rFonts w:ascii="calibri" w:hAnsi="calibri" w:eastAsia="calibri" w:cs="calibri"/>
          <w:sz w:val="24"/>
          <w:szCs w:val="24"/>
        </w:rPr>
        <w:t xml:space="preserve"> – tłumaczy Bartłomiej Chmiel, dyrektor zarządzający Yieldbird.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Reklamodawcy tak jak dotychczas będą mogli współpracować z działem sprzedaży spółki w zakresie emisji kampanii bezpośrednich. Co więcej, spółka cały czas rozszerza współpracę z globalnymi i lokalnymi kupującymi na rynkach, na których optymalizuje powierzchnie reklamowe wydawców. Do tej pory Yieldbird rozwinął swoje usługi w ponad 30 krajach świata, obsługując takich gigantów jak m.in. MailOnline (internetowe wydanie Daily Mail), Edipresse Media czy Burda.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Żeby realnie i trwale zwiększać przychody reklamowe wydawców niezbędne są dwie rzeczy. Po pierwsze, świetna obsługa platform RTB i optymalizacja tzw. open marketu. Po drugie, bezpośrednie pozyskiwanie i dobra obsługa reklamodawców, co do tej pory robiliśmy pod marką AdTaily, a teraz będziemy robić jako Yieldbird. Te dwa elementy, czyli technologia i sprzedaż, muszą ze sobą współpracować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uzupełniać się. U nas tak właśnie się dzieje i to między innymi wyróżnia nas na tle konkurencji</w:t>
      </w:r>
      <w:r>
        <w:rPr>
          <w:rFonts w:ascii="calibri" w:hAnsi="calibri" w:eastAsia="calibri" w:cs="calibri"/>
          <w:sz w:val="24"/>
          <w:szCs w:val="24"/>
        </w:rPr>
        <w:t xml:space="preserve"> – podkreśla Bartłomiej Chmiel.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Rebranding nie pociąga za sobą zmian w sposobie funkcjonowania spółki. Zachowana zostaje ciągłość prawna działalności, co oznacza, że wszystkie dotychczasowe ustalenia i umowy pozostają wiążące. Cały czas w ramach struktur spółki funkcjonuje wewnętrzny software house pod marką Codest, zajmujący się tworzeniem dedykowanego oprogramowania dla firm mediowych.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2024-05-04T17:30:07+02:00</dcterms:created>
  <dcterms:modified xsi:type="dcterms:W3CDTF">2024-05-04T17:30:07+02:00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