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optymalizuje powierzchnie reklamowe MailOnline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MailOnline, największy anglojęzyczny serwis prasowy, powierza optymalizację przychodów z reklamy programatycznej specjalistom z Polski. Yieldbird obsługuje ruch z 17 krajów Europy Środkowo-Wschodniej oraz 13 państw Ameryki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MailOnline to internetowe wydanie dziennika “Daily Mail”. Miesięcznie odwiedza go 248 milionów unikalnych użytkowników z całego świata. 13,5 miliona pochodzi z krajów Europy Środkowo-Wschodniej i Ameryki Łacińskiej. MailOnline informuje czytelników o aktualnych wydarzeniach, dostarcza newsy z dziedziny show-businessu, polityki, zdrowia i artykuły podróżnicze. Łącznie, redakcje w Londynie, Nowym Jorku, Los Angeles i Sydney publikują każdego dnia ponad 1600 artykułów, 19 500 fotografii oraz 650 materiałów wideo.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optymalizować przychód z reklamy programatycznej dla tak wymagającego wydawcy, jakim jest MailOnline, osiągając przy tym bardzo wysoką skuteczność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Zielińska, </w:t>
      </w:r>
      <w:r>
        <w:rPr>
          <w:rFonts w:ascii="calibri" w:hAnsi="calibri" w:eastAsia="calibri" w:cs="calibri"/>
          <w:sz w:val="24"/>
          <w:szCs w:val="24"/>
        </w:rPr>
        <w:t xml:space="preserve">Head of Business w zespole</w:t>
      </w:r>
      <w:r>
        <w:rPr>
          <w:rFonts w:ascii="calibri" w:hAnsi="calibri" w:eastAsia="calibri" w:cs="calibri"/>
          <w:sz w:val="24"/>
          <w:szCs w:val="24"/>
          <w:b/>
        </w:rPr>
        <w:t xml:space="preserve">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13,5 miliona unikalnych użytkowników odwiedzających co miesiąc serwis MailOnline sprawia, że Europa Środkowo-Wschodnia i Ameryka Łacińska to regiony dla nas ważne. Cieszymy się, że to właśnie dzięki współpracy z Yieldbird najważniejsi reklamodawcy z tych regionów mogą dotrzeć do zaangażowanych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wartościowych użytkowników serwisu MailOnline”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James Leaver, </w:t>
      </w:r>
      <w:r>
        <w:rPr>
          <w:rFonts w:ascii="calibri" w:hAnsi="calibri" w:eastAsia="calibri" w:cs="calibri"/>
          <w:sz w:val="24"/>
          <w:szCs w:val="24"/>
        </w:rPr>
        <w:t xml:space="preserve">General Manager pionu International w</w:t>
      </w:r>
      <w:r>
        <w:rPr>
          <w:rFonts w:ascii="calibri" w:hAnsi="calibri" w:eastAsia="calibri" w:cs="calibri"/>
          <w:sz w:val="24"/>
          <w:szCs w:val="24"/>
          <w:b/>
        </w:rPr>
        <w:t xml:space="preserve"> MailOnline.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Rynki, monetyzację których obsługuje Yieldbird: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Europa Środkowo-Wschodnia</w:t>
      </w:r>
      <w:r>
        <w:rPr>
          <w:rFonts w:ascii="calibri" w:hAnsi="calibri" w:eastAsia="calibri" w:cs="calibri"/>
          <w:sz w:val="24"/>
          <w:szCs w:val="24"/>
        </w:rPr>
        <w:t xml:space="preserve">: Białoruś, Bośnia i Hercegowina, Bułgaria, Chorwacja, Cypr, Czechy, Grecja, Litwa, Łotwa, Rosja, Rumunia, Serbia, Słowacja, Słowenia, Turcja, Ukraina, Węgry.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Ameryka Łacińska</w:t>
      </w:r>
      <w:r>
        <w:rPr>
          <w:rFonts w:ascii="calibri" w:hAnsi="calibri" w:eastAsia="calibri" w:cs="calibri"/>
          <w:sz w:val="24"/>
          <w:szCs w:val="24"/>
        </w:rPr>
        <w:t xml:space="preserve">: Argentyna, Boliwia, Brazylia, Chile, Ekwador, Gujana, Kolumbia, Meksyk, Paragwaj, Peru, Surinam, Urugwaj, Wenezuela.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2026-02-06T12:23:56+01:00</dcterms:created>
  <dcterms:modified xsi:type="dcterms:W3CDTF">2026-02-06T12:23:56+01:00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