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Yieldbird umacnia swoją pozycję na rynku rosyjskim i WNP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Yana Kalashnikova dołączyła do Yieldbirda jako Business Development Director na rynek rosyjski i WNP (Wspólnota Niepodległych Państw). Odpowiedzialna jest za rozwój relacji z tamtejszymi wydawcami.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Yana Kalashnikova z wydawcami współpracuje od ponad sześciu lat. Dwukrotnie obejmowała stanowisko Business Development Directora w firmach z branży ad tech: eTargeting oraz Criteo – specjalizujących się w retargetingu i reklamie RTB.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Internet rosyjskojęzyczny ma swoją specyfikę. Dość wspomnieć o dominującej pozycji wyszukiwarki Yandex oraz rozwiązań reklamowych zapewnianych przez tę firmę. Takich różnic jest więcej i w procesie optymalizacji trzeba posługiwać się innymi narzędziami niż w krajach Europy Środkowo-Wschodniej, Ameryki Południowej czy Azji. Większą niż w innych krajach rolę odgrywają też relacje z wydawcami</w:t>
      </w:r>
      <w:r>
        <w:rPr>
          <w:rFonts w:ascii="calibri" w:hAnsi="calibri" w:eastAsia="calibri" w:cs="calibri"/>
          <w:sz w:val="24"/>
          <w:szCs w:val="24"/>
        </w:rPr>
        <w:t xml:space="preserve"> – tłumaczy nowy Business Development Director Yieldbirda.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Rynek rosyjskojęzycznych wydawców jest bardzo zróżnicowany. Niektórzy z nich na co dzień korzystają ze najnowszych rozwiązań, również dotyczących programmatic. Są też zainteresowani możliwościami łączenia sprzedaży bezpośredniej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z programatyczną. Dla wielu jednak wciąż jest to nowością. Mimo to dostrzegamy gotowość do wypróbowania sposobów monetyzacji, które daje programmatic.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Yieldbird współpracuje z wydawcami ze Wspólnoty Niepodległych Państw od kilku lat. W portfolio firmy znalazły się strony internetowe klientów z Rosji, Białorusi, Ukrainy, Kazachstanu i innych państw regionu. Obsługuje ich wyspecjalizowany zespół Publisher Managerów, dedykowany na rynki rosyjskojęzyczne. Dzięki bardzo dobremu rozpoznaniu warunków lokalnych, a także pozyskiwaniu bezpośrednich kampanii reklamowych od domów mediowych w krajach naszego regionu i Europy Zachodniej, możliwe jest uzyskanie imponujących wzrostów przychodów dla wydawców na rynkach wschodnich.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przykładem jest Edipresse Ukraine, który po nawiązaniu współpracy z Yieldbirdem, podwoił swoje przychody z powierzchni reklamowych sprzedawanych w modelu programmatic. Burda Ukraine znacząco zmniejszyła liczbę niesprzedanych odsłon reklamowych, zaś Pikabu, jeden z czołowych wydawców na Białorusi, pomimo mniejszego ruchu zwiększył swoje przychody o 127%.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Rynki Wspólnoty Niepodległych Państw są bardzo perspektywiczne dla usług optymalizacji powierzchni reklamowych. Ze względu na różnice kulturowe i językowe ich penetracja przez firmy zachodnie jest minimalna, choć państwa te zamieszkuje około 280 milionów ludzi, a tamtejsi wydawcy internetowi prężnie się rozwijają.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2026-09-20T20:09:41+02:00</dcterms:created>
  <dcterms:modified xsi:type="dcterms:W3CDTF">2026-09-20T20:09:41+02:00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