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AdTaily dostaje skrzydeł, czyli Yieldbird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grudnia br. grupa AdTaily zmienia nazwę. Pod marką Yieldbird funkcjonować będą teraz nie tylko usługi dla wydawców związane z zarządzaniem ich powierzchniami reklamowymi, ale także rozwiązania dla reklamodawców, dotychczas oferowane pod marką AdTaily. Głównym udziałowcem Yieldbird jest Agora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Zmiana nazwy to naturalny krok w rozwoju spółki. W 2012 r. pod marką Yieldbird została uruchomiona usługa polegająca na optymalizacji powierzchni reklamowych wydawców. Okazało się to świetnym ruchem biznesowym. W tej chwili współpraca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wydawcami to główna część naszej działalności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w tym kierunku chcemy się rozwijać. Dlatego zależy nam, by występować wobec naszych partnerów pod nazwą Yieldbird, a nie AdTaily jak dotychczas</w:t>
      </w:r>
      <w:r>
        <w:rPr>
          <w:rFonts w:ascii="calibri" w:hAnsi="calibri" w:eastAsia="calibri" w:cs="calibri"/>
          <w:sz w:val="24"/>
          <w:szCs w:val="24"/>
        </w:rPr>
        <w:t xml:space="preserve"> – tłumaczy Bartłomiej Chmiel, dyrektor zarządzający Yieldbird.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Reklamodawcy tak jak dotychczas będą mogli współpracować z działem sprzedaży spółki w zakresie emisji kampanii bezpośrednich. Co więcej, spółka cały czas rozszerza współpracę z globalnymi i lokalnymi kupującymi na rynkach, na których optymalizuje powierzchnie reklamowe wydawców. Do tej pory Yieldbird rozwinął swoje usługi w ponad 30 krajach świata, obsługując takich gigantów jak m.in. MailOnline (internetowe wydanie Daily Mail), Edipresse Media czy Burda.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Żeby realnie i trwale zwiększać przychody reklamowe wydawców niezbędne są dwie rzeczy. Po pierwsze, świetna obsługa platform RTB i optymalizacja tzw. open marketu. Po drugie, bezpośrednie pozyskiwanie i dobra obsługa reklamodawców, co do tej pory robiliśmy pod marką AdTaily, a teraz będziemy robić jako Yieldbird. Te dwa elementy, czyli technologia i sprzedaż, muszą ze sobą współpracować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uzupełniać się. U nas tak właśnie się dzieje i to między innymi wyróżnia nas na tle konkurencji</w:t>
      </w:r>
      <w:r>
        <w:rPr>
          <w:rFonts w:ascii="calibri" w:hAnsi="calibri" w:eastAsia="calibri" w:cs="calibri"/>
          <w:sz w:val="24"/>
          <w:szCs w:val="24"/>
        </w:rPr>
        <w:t xml:space="preserve"> – podkreśla Bartłomiej Chmiel.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Rebranding nie pociąga za sobą zmian w sposobie funkcjonowania spółki. Zachowana zostaje ciągłość prawna działalności, co oznacza, że wszystkie dotychczasowe ustalenia i umowy pozostają wiążące. Cały czas w ramach struktur spółki funkcjonuje wewnętrzny software house pod marką Codest, zajmujący się tworzeniem dedykowanego oprogramowania dla firm mediowych.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2026-07-26T03:59:50+02:00</dcterms:created>
  <dcterms:modified xsi:type="dcterms:W3CDTF">2026-07-26T03:59:50+02:00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