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AdTaily dostaje skrzydeł, czyli Yieldbird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grudnia br. grupa AdTaily zmienia nazwę. Pod marką Yieldbird funkcjonować będą teraz nie tylko usługi dla wydawców związane z zarządzaniem ich powierzchniami reklamowymi, ale także rozwiązania dla reklamodawców, dotychczas oferowane pod marką AdTaily. Głównym udziałowcem Yieldbird jest Agora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Zmiana nazwy to naturalny krok w rozwoju spółki. W 2012 r. pod marką Yieldbird została uruchomiona usługa polegająca na optymalizacji powierzchni reklamowych wydawców. Okazało się to świetnym ruchem biznesowym. W tej chwili współpraca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z wydawcami to główna część naszej działalności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w tym kierunku chcemy się rozwijać. Dlatego zależy nam, by występować wobec naszych partnerów pod nazwą Yieldbird, a nie AdTaily jak dotychczas</w:t>
      </w:r>
      <w:r>
        <w:rPr>
          <w:rFonts w:ascii="calibri" w:hAnsi="calibri" w:eastAsia="calibri" w:cs="calibri"/>
          <w:sz w:val="24"/>
          <w:szCs w:val="24"/>
        </w:rPr>
        <w:t xml:space="preserve"> – tłumaczy Bartłomiej Chmiel, dyrektor zarządzający Yieldbird.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Reklamodawcy tak jak dotychczas będą mogli współpracować z działem sprzedaży spółki w zakresie emisji kampanii bezpośrednich. Co więcej, spółka cały czas rozszerza współpracę z globalnymi i lokalnymi kupującymi na rynkach, na których optymalizuje powierzchnie reklamowe wydawców. Do tej pory Yieldbird rozwinął swoje usługi w ponad 30 krajach świata, obsługując takich gigantów jak m.in. MailOnline (internetowe wydanie Daily Mail), Edipresse Media czy Burda.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Żeby realnie i trwale zwiększać przychody reklamowe wydawców niezbędne są dwie rzeczy. Po pierwsze, świetna obsługa platform RTB i optymalizacja tzw. open marketu. Po drugie, bezpośrednie pozyskiwanie i dobra obsługa reklamodawców, co do tej pory robiliśmy pod marką AdTaily, a teraz będziemy robić jako Yieldbird. Te dwa elementy, czyli technologia i sprzedaż, muszą ze sobą współpracować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uzupełniać się. U nas tak właśnie się dzieje i to między innymi wyróżnia nas na tle konkurencji</w:t>
      </w:r>
      <w:r>
        <w:rPr>
          <w:rFonts w:ascii="calibri" w:hAnsi="calibri" w:eastAsia="calibri" w:cs="calibri"/>
          <w:sz w:val="24"/>
          <w:szCs w:val="24"/>
        </w:rPr>
        <w:t xml:space="preserve"> – podkreśla Bartłomiej Chmiel.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Rebranding nie pociąga za sobą zmian w sposobie funkcjonowania spółki. Zachowana zostaje ciągłość prawna działalności, co oznacza, że wszystkie dotychczasowe ustalenia i umowy pozostają wiążące. Cały czas w ramach struktur spółki funkcjonuje wewnętrzny software house pod marką Codest, zajmujący się tworzeniem dedykowanego oprogramowania dla firm mediowych.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2026-09-20T20:55:41+02:00</dcterms:created>
  <dcterms:modified xsi:type="dcterms:W3CDTF">2026-09-20T20:55:41+02:00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