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AdTaily dostaje skrzydeł, czyli Yieldbird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br. grupa AdTaily zmienia nazwę. Pod marką Yieldbird funkcjonować będą teraz nie tylko usługi dla wydawców związane z zarządzaniem ich powierzchniami reklamowymi, ale także rozwiązania dla reklamodawców, dotychczas oferowane pod marką AdTaily. Głównym udziałowcem Yieldbird jest Agora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Zmiana nazwy to naturalny krok w rozwoju spółki. W 2012 r. pod marką Yieldbird została uruchomiona usługa polegająca na optymalizacji powierzchni reklamowych wydawców. Okazało się to świetnym ruchem biznesowym. W tej chwili współpraca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wydawcami to główna część naszej działalności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 tym kierunku chcemy się rozwijać. Dlatego zależy nam, by występować wobec naszych partnerów pod nazwą Yieldbird, a nie AdTaily jak dotychczas</w:t>
      </w:r>
      <w:r>
        <w:rPr>
          <w:rFonts w:ascii="calibri" w:hAnsi="calibri" w:eastAsia="calibri" w:cs="calibri"/>
          <w:sz w:val="24"/>
          <w:szCs w:val="24"/>
        </w:rPr>
        <w:t xml:space="preserve"> – tłumaczy Bartłomiej Chmiel, dyrektor zarządzający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Reklamodawcy tak jak dotychczas będą mogli współpracować z działem sprzedaży spółki w zakresie emisji kampanii bezpośrednich. Co więcej, spółka cały czas rozszerza współpracę z globalnymi i lokalnymi kupującymi na rynkach, na których optymalizuje powierzchnie reklamowe wydawców. Do tej pory Yieldbird rozwinął swoje usługi w ponad 30 krajach świata, obsługując takich gigantów jak m.in. MailOnline (internetowe wydanie Daily Mail), Edipresse Media czy Burda.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Żeby realnie i trwale zwiększać przychody reklamowe wydawców niezbędne są dwie rzeczy. Po pierwsze, świetna obsługa platform RTB i optymalizacja tzw. open marketu. Po drugie, bezpośrednie pozyskiwanie i dobra obsługa reklamodawców, co do tej pory robiliśmy pod marką AdTaily, a teraz będziemy robić jako Yieldbird. Te dwa elementy, czyli technologia i sprzedaż, muszą ze sobą współpracować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uzupełniać się. U nas tak właśnie się dzieje i to między innymi wyróżnia nas na tle konkurencji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nie pociąga za sobą zmian w sposobie funkcjonowania spółki. Zachowana zostaje ciągłość prawna działalności, co oznacza, że wszystkie dotychczasowe ustalenia i umowy pozostają wiążące. Cały czas w ramach struktur spółki funkcjonuje wewnętrzny software house pod marką Codest, zajmujący się tworzeniem dedykowanego oprogramowania dla firm mediowych.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2026-03-24T13:05:49+01:00</dcterms:created>
  <dcterms:modified xsi:type="dcterms:W3CDTF">2026-03-24T13:05:49+01:00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