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Grupa AdTaily dostaje skrzydeł, czyli Yieldbird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8 grudnia br. grupa AdTaily zmienia nazwę. Pod marką Yieldbird funkcjonować będą teraz nie tylko usługi dla wydawców związane z zarządzaniem ich powierzchniami reklamowymi, ale także rozwiązania dla reklamodawców, dotychczas oferowane pod marką AdTaily. Głównym udziałowcem Yieldbird jest Agora S.A.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- Zmiana nazwy to naturalny krok w rozwoju spółki. W 2012 r. pod marką Yieldbird została uruchomiona usługa polegająca na optymalizacji powierzchni reklamowych wydawców. Okazało się to świetnym ruchem biznesowym. W tej chwili współpraca </w:t>
      </w:r>
    </w:p>
    <w:p>
      <w:r>
        <w:rPr>
          <w:rFonts w:ascii="calibri" w:hAnsi="calibri" w:eastAsia="calibri" w:cs="calibri"/>
          <w:sz w:val="24"/>
          <w:szCs w:val="24"/>
          <w:i/>
          <w:iCs/>
        </w:rPr>
        <w:t xml:space="preserve"> z wydawcami to główna część naszej działalności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i w tym kierunku chcemy się rozwijać. Dlatego zależy nam, by występować wobec naszych partnerów pod nazwą Yieldbird, a nie AdTaily jak dotychczas</w:t>
      </w:r>
      <w:r>
        <w:rPr>
          <w:rFonts w:ascii="calibri" w:hAnsi="calibri" w:eastAsia="calibri" w:cs="calibri"/>
          <w:sz w:val="24"/>
          <w:szCs w:val="24"/>
        </w:rPr>
        <w:t xml:space="preserve"> – tłumaczy Bartłomiej Chmiel, dyrektor zarządzający Yieldbird.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Reklamodawcy tak jak dotychczas będą mogli współpracować z działem sprzedaży spółki w zakresie emisji kampanii bezpośrednich. Co więcej, spółka cały czas rozszerza współpracę z globalnymi i lokalnymi kupującymi na rynkach, na których optymalizuje powierzchnie reklamowe wydawców. Do tej pory Yieldbird rozwinął swoje usługi w ponad 30 krajach świata, obsługując takich gigantów jak m.in. MailOnline (internetowe wydanie Daily Mail), Edipresse Media czy Burda.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Żeby realnie i trwale zwiększać przychody reklamowe wydawców niezbędne są dwie rzeczy. Po pierwsze, świetna obsługa platform RTB i optymalizacja tzw. open marketu. Po drugie, bezpośrednie pozyskiwanie i dobra obsługa reklamodawców, co do tej pory robiliśmy pod marką AdTaily, a teraz będziemy robić jako Yieldbird. Te dwa elementy, czyli technologia i sprzedaż, muszą ze sobą współpracować </w:t>
      </w:r>
    </w:p>
    <w:p>
      <w:r>
        <w:rPr>
          <w:rFonts w:ascii="calibri" w:hAnsi="calibri" w:eastAsia="calibri" w:cs="calibri"/>
          <w:sz w:val="24"/>
          <w:szCs w:val="24"/>
          <w:i/>
          <w:iCs/>
        </w:rPr>
        <w:t xml:space="preserve"> i uzupełniać się. U nas tak właśnie się dzieje i to między innymi wyróżnia nas na tle konkurencji</w:t>
      </w:r>
      <w:r>
        <w:rPr>
          <w:rFonts w:ascii="calibri" w:hAnsi="calibri" w:eastAsia="calibri" w:cs="calibri"/>
          <w:sz w:val="24"/>
          <w:szCs w:val="24"/>
        </w:rPr>
        <w:t xml:space="preserve"> – podkreśla Bartłomiej Chmiel.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Rebranding nie pociąga za sobą zmian w sposobie funkcjonowania spółki. Zachowana zostaje ciągłość prawna działalności, co oznacza, że wszystkie dotychczasowe ustalenia i umowy pozostają wiążące. Cały czas w ramach struktur spółki funkcjonuje wewnętrzny software house pod marką Codest, zajmujący się tworzeniem dedykowanego oprogramowania dla firm mediowych.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2026-11-08T22:22:15+01:00</dcterms:created>
  <dcterms:modified xsi:type="dcterms:W3CDTF">2026-11-08T22:22:15+01:00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